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ERVV</w:t>
      </w:r>
    </w:p>
    <w:p>
      <w:r>
        <w:rPr>
          <w:color w:val="555555"/>
          <w:sz w:val="18"/>
        </w:rPr>
        <w:t xml:space="preserve">Elektronischer-Rechtsverkehr-Verordnung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130a Absatz 2 Satz 2 und Absatz 4 Nummer 3 der Zivilprozessordnung, der durch Artikel 1 Nummer 2 des Gesetzes vom 10. Oktober 2013 (BGBl. I S. 3786) neu gefasst worden ist,</w:t>
      </w:r>
    </w:p>
    <w:p>
      <w:pPr>
        <w:ind w:left="420"/>
      </w:pPr>
      <w:r>
        <w:t xml:space="preserve">– des § 46c Absatz 2 Satz 2 und Absatz 4 Nummer 3 des Arbeitsgerichtsgesetzes, der durch Artikel 3 Nummer 2 des Gesetzes vom 10. Oktober 2013 (BGBl. I S. 3786) neu gefasst worden ist,</w:t>
      </w:r>
    </w:p>
    <w:p>
      <w:pPr>
        <w:ind w:left="420"/>
      </w:pPr>
      <w:r>
        <w:t xml:space="preserve">– des § 65a Absatz 2 Satz 2 und Absatz 4 Nummer 3 des Sozialgerichtsgesetzes, der durch Artikel 4 Nummer 1 Buchstabe a des Gesetzes vom 10. Oktober 2013 (BGBl. I S. 3786) neu gefasst worden ist,</w:t>
      </w:r>
    </w:p>
    <w:p>
      <w:pPr>
        <w:ind w:left="420"/>
      </w:pPr>
      <w:r>
        <w:t xml:space="preserve">– des § 55a Absatz 2 Satz 2 und Absatz 4 Nummer 3 der Verwaltungsgerichtsordnung, der durch Artikel 5 Nummer 1 Buchstabe a des Gesetzes vom 10. Oktober 2013 (BGBl. I S. 3786) neu gefasst worden ist, und</w:t>
      </w:r>
    </w:p>
    <w:p>
      <w:pPr>
        <w:ind w:left="420"/>
      </w:pPr>
      <w:r>
        <w:t xml:space="preserve">– des § 52a Absatz 2 Satz 2 und Absatz 4 Nummer 3 der Finanzgerichtsordnung, der durch Artikel 6 Nummer 1 Buchstabe a des Gesetzes vom 10. Oktober 2013 (BGBl. I S. 3786) neu gefasst worden ist,</w:t>
      </w:r>
    </w:p>
    <w:p>
      <w:r>
        <w:t xml:space="preserve">jeweils in Verbindung mit Artikel 25 des Gesetzes zur Förderung des elektronischen Rechtsverkehrs mit den Gerichten vom 10. Oktober 2013 (BGBl. I S. 3786), und auf Grund</w:t>
      </w:r>
    </w:p>
    <w:p>
      <w:pPr>
        <w:ind w:left="420"/>
      </w:pPr>
      <w:r>
        <w:t xml:space="preserve">– des § 14 Absatz 4 des Gesetzes über das Verfahren in Familiensachen und in den Angelegenheiten der freiwilligen Gerichtsbarkeit, der durch Artikel 13 Nummer 3 Buchstabe c des Gesetzes vom 5. Juli 2017 (BGBl. I S. 2208) geändert worden ist,</w:t>
      </w:r>
    </w:p>
    <w:p>
      <w:pPr>
        <w:ind w:left="420"/>
      </w:pPr>
      <w:r>
        <w:t xml:space="preserve">– des § 81 Absatz 4 der Grundbuchordnung, der durch Artikel 1 Nummer 13 des Gesetzes vom 11. August 2009 (BGBl. I S. 2713) neu gefasst worden ist, und</w:t>
      </w:r>
    </w:p>
    <w:p>
      <w:pPr>
        <w:ind w:left="420"/>
      </w:pPr>
      <w:r>
        <w:t xml:space="preserve">– des § 89 Absatz 4 der Schiffsregisterordnung, der durch Artikel 4 Absatz 5 Nummer 4 des Gesetzes vom 11. August 2009 (BGBl. I S. 2713) neu gefasst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ERVV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