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ERVV — Änderung und Löschung</w:t>
      </w:r>
    </w:p>
    <w:p>
      <w:r>
        <w:rPr>
          <w:color w:val="555555"/>
          <w:sz w:val="18"/>
        </w:rPr>
        <w:t xml:space="preserve">Elektronischer-Rechtsverkehr-Verordnung</w:t>
      </w:r>
    </w:p>
    <w:p>
      <w:r>
        <w:rPr>
          <w:color w:val="555555"/>
          <w:sz w:val="18"/>
        </w:rPr>
        <w:t xml:space="preserve">Stand: 10.06.2019 (konsolidierte Textfassung, kein amtliches Inkrafttretensdatum)</w:t>
      </w:r>
    </w:p>
    <w:p>
      <w:r>
        <w:t xml:space="preserve">(1) Der Postfachinhaber hat Änderungen seines Namens oder Sitzes unverzüglich der nach § 7 Absatz 1 bestimmten Stelle anzuzeigen.</w:t>
      </w:r>
    </w:p>
    <w:p>
      <w:r>
        <w:t xml:space="preserve">(2) Der Postfachinhaber kann jederzeit die Löschung seines besonderen elektronischen Behördenpostfachs veranlassen. Er hat die Löschung seines besonderen elektronischen Behördenpostfachs zu veranlassen, wenn seine Berechtigung zur Nutzung des besonderen elektronischen Behördenpostfachs endet.</w:t>
      </w:r>
    </w:p>
    <w:p>
      <w:r>
        <w:rPr>
          <w:color w:val="555555"/>
          <w:sz w:val="17"/>
        </w:rPr>
        <w:t xml:space="preserve">Zitiervorschlag: § 9 ERVV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https://recht.nulegal.eu/gesetze/ERVV/9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