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ERVV — Besonderes elektronisches Behördenpostfach; Anforderungen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Behörden sowie juristischen Personen des öffentlichen Rechts können zur Übermittlung elektronischer Dokumente auf einem sicheren Übermittlungsweg ein besonderes elektronisches Behördenpostfach verwenden,</w:t>
      </w:r>
    </w:p>
    <w:p>
      <w:pPr>
        <w:ind w:left="420"/>
      </w:pPr>
      <w:r>
        <w:t xml:space="preserve">1. das auf dem Protokollstandard OSCI oder einem diesen ersetzenden, dem jeweiligen Stand der Technik entsprechenden Protokollstandard beruht,</w:t>
      </w:r>
    </w:p>
    <w:p>
      <w:pPr>
        <w:ind w:left="420"/>
      </w:pPr>
      <w:r>
        <w:t xml:space="preserve">2. bei dem die Identität des Postfachinhabers in einem Identifizierungsverfahren geprüft und bestätigt wurde,</w:t>
      </w:r>
    </w:p>
    <w:p>
      <w:pPr>
        <w:ind w:left="420"/>
      </w:pPr>
      <w:r>
        <w:t xml:space="preserve">3. bei dem der Postfachinhaber in ein sicheres elektronisches Verzeichnis eingetragen ist und</w:t>
      </w:r>
    </w:p>
    <w:p>
      <w:pPr>
        <w:ind w:left="420"/>
      </w:pPr>
      <w:r>
        <w:t xml:space="preserve">4. bei dem feststellbar ist, dass das elektronische Dokument vom Postfachinhaber versandt wurde.</w:t>
      </w:r>
    </w:p>
    <w:p>
      <w:r>
        <w:t xml:space="preserve">(2) Das besondere elektronische Behördenpostfach muss</w:t>
      </w:r>
    </w:p>
    <w:p>
      <w:pPr>
        <w:ind w:left="420"/>
      </w:pPr>
      <w:r>
        <w:t xml:space="preserve">1. über eine Suchfunktion verfügen, die es ermöglicht, andere Inhaber von besonderen elektronischen Postfächern aufzufinden,</w:t>
      </w:r>
    </w:p>
    <w:p>
      <w:pPr>
        <w:ind w:left="420"/>
      </w:pPr>
      <w:r>
        <w:t xml:space="preserve">2. für andere Inhaber von besonderen elektronischen Postfächern adressierbar sein und</w:t>
      </w:r>
    </w:p>
    <w:p>
      <w:pPr>
        <w:ind w:left="420"/>
      </w:pPr>
      <w:r>
        <w:t xml:space="preserve">3. barrierefrei sein im Sinne der Barrierefreie-Informationstechnik-Verordnung.</w:t>
      </w:r>
    </w:p>
    <w:p>
      <w:r>
        <w:t xml:space="preserve">(3) Das Elektronische Gerichts- und Verwaltungspostfach eines Gerichts, einer Staatsanwaltschaft, einer Amtsanwaltschaft, einer Justizvollzugsanstalt oder einer Jugendarrestanstalt steht einem besonderen elektronischen Behördenpostfach gleich, soweit diese Stelle Aufgaben einer Behörde nach Absatz 1 wahrnimmt; § 7 findet keine Anwendung.</w:t>
      </w:r>
    </w:p>
    <w:p>
      <w:r>
        <w:rPr>
          <w:color w:val="555555"/>
          <w:sz w:val="17"/>
        </w:rPr>
        <w:t xml:space="preserve">Zitiervorschlag: § 6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