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ERVV — Übermittlung elektronischer Dokumente mit qualifizierter elektronischer Signatur</w:t>
      </w:r>
    </w:p>
    <w:p>
      <w:r>
        <w:rPr>
          <w:color w:val="555555"/>
          <w:sz w:val="18"/>
        </w:rPr>
        <w:t xml:space="preserve">Elektronischer-Rechtsverkehr-Verordnung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elektronisches Dokument, das mit einer qualifizierten elektronischen Signatur der verantwortenden Person versehen ist, darf wie folgt übermittelt werden:</w:t>
      </w:r>
    </w:p>
    <w:p>
      <w:pPr>
        <w:ind w:left="420"/>
      </w:pPr>
      <w:r>
        <w:t xml:space="preserve">1. auf einem sicheren Übermittlungsweg oder</w:t>
      </w:r>
    </w:p>
    <w:p>
      <w:pPr>
        <w:ind w:left="420"/>
      </w:pPr>
      <w:r>
        <w:t xml:space="preserve">2. an das für den Empfang elektronischer Dokumente eingerichtete Elektronische Gerichts- und Verwaltungspostfach des Gerichts über eine Anwendung, die auf OSCI oder einem diesen ersetzenden, dem jeweiligen Stand der Technik entsprechenden Protokollstandard beruht.</w:t>
      </w:r>
    </w:p>
    <w:p>
      <w:r>
        <w:t xml:space="preserve">(2) Mehrere elektronische Dokumente dürfen nicht mit einer gemeinsamen qualifizierten elektronischen Signatur übermittelt werden.</w:t>
      </w:r>
    </w:p>
    <w:p>
      <w:r>
        <w:rPr>
          <w:color w:val="555555"/>
          <w:sz w:val="17"/>
        </w:rPr>
        <w:t xml:space="preserve">Zitiervorschlag: § 4 ERVV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