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ERVV — Überschreitung der Höchstgrenzen</w:t>
      </w:r>
    </w:p>
    <w:p>
      <w:r>
        <w:rPr>
          <w:color w:val="555555"/>
          <w:sz w:val="18"/>
        </w:rPr>
        <w:t xml:space="preserve">Elektronischer-Rechtsverkehr-Verordnung</w:t>
      </w:r>
    </w:p>
    <w:p>
      <w:r>
        <w:rPr>
          <w:color w:val="555555"/>
          <w:sz w:val="18"/>
        </w:rPr>
        <w:t xml:space="preserve">Stand: 10.06.2019 (konsolidierte Textfassung, kein amtliches Inkrafttretensdatum)</w:t>
      </w:r>
    </w:p>
    <w:p>
      <w:r>
        <w:t xml:space="preserve">Wird glaubhaft gemacht, dass die nach § 5 Absatz 1 Nummer 3 bekanntgemachten Höchstgrenzen für die Anzahl oder das Volumen elektronischer Dokumente nicht eingehalten werden können, kann die Übermittlung als Schriftsatz nach den allgemeinen Vorschriften erfolgen, möglichst unter Beifügung des Schriftsatzes und der Anlagen als elektronische Dokumente auf einem nach § 5 Absatz 1 Nummer 4 bekanntgemachten zulässigen physischen Datenträger.</w:t>
      </w:r>
    </w:p>
    <w:p>
      <w:r>
        <w:rPr>
          <w:color w:val="555555"/>
          <w:sz w:val="17"/>
        </w:rPr>
        <w:t xml:space="preserve">Zitiervorschlag: § 3 ERVV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https://recht.nulegal.eu/gesetze/ERVV/3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