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ERVV — Anforderungen an elektronische Dokumente</w:t>
      </w:r>
    </w:p>
    <w:p>
      <w:r>
        <w:rPr>
          <w:color w:val="555555"/>
          <w:sz w:val="18"/>
        </w:rPr>
        <w:t xml:space="preserve">Elektronischer-Rechtsverkehr-Verordnung</w:t>
      </w:r>
    </w:p>
    <w:p>
      <w:r>
        <w:rPr>
          <w:color w:val="555555"/>
          <w:sz w:val="18"/>
        </w:rPr>
        <w:t xml:space="preserve">Stand: 17.07.2024 (konsolidierte Textfassung, kein amtliches Inkrafttretensdatum)</w:t>
      </w:r>
    </w:p>
    <w:p>
      <w:r>
        <w:t xml:space="preserve">(1) Das elektronische Dokument ist im Dateiformat PDF zu übermitteln. Wenn bildliche Darstellungen im Dateiformat PDF nicht verlustfrei wiedergegeben werden können, darf das elektronische Dokument zusätzlich im Dateiformat TIFF übermittelt werden. Die Dateiformate PDF und TIFF sollen den nach § 5 Absatz 1 Nummer 1 bekanntgemachten Versionen entsprechen.</w:t>
      </w:r>
    </w:p>
    <w:p>
      <w:r>
        <w:t xml:space="preserve">(2) Das elektronische Dokument soll den nach § 5 Absatz 1 Nummer 1 und 6 bekanntgemachten technischen Standards entsprechen.</w:t>
      </w:r>
    </w:p>
    <w:p>
      <w:r>
        <w:t xml:space="preserve">(3) Dem elektronischen Dokument soll ein strukturierter maschinenlesbarer Datensatz im Dateiformat XML beigefügt werden, der den nach § 5 Absatz 1 Nummer 2 bekanntgemachten Definitions- oder Schemadateien entspricht und mindestens enthält:</w:t>
      </w:r>
    </w:p>
    <w:p>
      <w:pPr>
        <w:ind w:left="420"/>
      </w:pPr>
      <w:r>
        <w:t xml:space="preserve">1. die Bezeichnung des Gerichts;</w:t>
      </w:r>
    </w:p>
    <w:p>
      <w:pPr>
        <w:ind w:left="420"/>
      </w:pPr>
      <w:r>
        <w:t xml:space="preserve">2. sofern bekannt, das Aktenzeichen des Verfahrens;</w:t>
      </w:r>
    </w:p>
    <w:p>
      <w:pPr>
        <w:ind w:left="420"/>
      </w:pPr>
      <w:r>
        <w:t xml:space="preserve">3. die Bezeichnung der Parteien oder Verfahrensbeteiligten;</w:t>
      </w:r>
    </w:p>
    <w:p>
      <w:pPr>
        <w:ind w:left="420"/>
      </w:pPr>
      <w:r>
        <w:t xml:space="preserve">4. die Angabe des Verfahrensgegenstandes;</w:t>
      </w:r>
    </w:p>
    <w:p>
      <w:pPr>
        <w:ind w:left="420"/>
      </w:pPr>
      <w:r>
        <w:t xml:space="preserve">5. sofern bekannt, das Aktenzeichen eines denselben Verfahrensgegenstand betreffenden Verfahrens und die Bezeichnung der die Akten führenden Stelle.</w:t>
      </w:r>
    </w:p>
    <w:p>
      <w:r>
        <w:rPr>
          <w:color w:val="555555"/>
          <w:sz w:val="17"/>
        </w:rPr>
        <w:t xml:space="preserve">Zitiervorschlag: § 2 ERVV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https://recht.nulegal.eu/gesetze/ERVV/2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