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ERVV — Sonstige verfahrensbezogene elektronische Dokumente</w:t>
      </w:r>
    </w:p>
    <w:p>
      <w:r>
        <w:rPr>
          <w:color w:val="555555"/>
          <w:sz w:val="18"/>
        </w:rPr>
        <w:t xml:space="preserve">Elektronischer-Rechtsverkehr-Verordnung</w:t>
      </w:r>
    </w:p>
    <w:p>
      <w:r>
        <w:rPr>
          <w:color w:val="555555"/>
          <w:sz w:val="18"/>
        </w:rPr>
        <w:t xml:space="preserve">Stand: 01.01.2022 (konsolidierte Textfassung, kein amtliches Inkrafttretensdatum)</w:t>
      </w:r>
    </w:p>
    <w:p>
      <w:r>
        <w:t xml:space="preserve">(1) Sonstige verfahrensbezogene elektronische Dokumente, die an Strafverfolgungsbehörden oder Strafgerichte übermittelt werden, sollen den Anforderungen des § 2 entsprechen. Entsprechen sie diesen Anforderungen nicht und sind sie zur Bearbeitung durch die Behörde oder das Gericht aufgrund der dortigen technischen Ausstattung oder der dort einzuhaltenden Sicherheitsstandards nicht geeignet, so liegt ein wirksamer Eingang nicht vor. In der Mitteilung nach § 32a Absatz 6 Satz 1 der Strafprozessordnung ist auf die in § 2 geregelten technischen Rahmenbedingungen hinzuweisen.</w:t>
      </w:r>
    </w:p>
    <w:p>
      <w:r>
        <w:t xml:space="preserve">(2) Die Übermittlung kann auch auf anderen als den in § 32a Absatz 4 der Strafprozessordnung genannten Übermittlungswegen erfolgen, wenn ein solcher Übermittlungsweg für die Entgegennahme verfahrensbezogener elektronischer Dokumente generell und ausdrücklich eröffnet ist.</w:t>
      </w:r>
    </w:p>
    <w:p>
      <w:r>
        <w:rPr>
          <w:color w:val="555555"/>
          <w:sz w:val="17"/>
        </w:rPr>
        <w:t xml:space="preserve">Zitiervorschlag: § 15 ERVV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https://recht.nulegal.eu/gesetze/ERVV/15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