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ERVV — Elektronische Kommunikation über den Postfach- und Versanddienst eines Nutzerkontos</w:t>
      </w:r>
    </w:p>
    <w:p>
      <w:r>
        <w:rPr>
          <w:color w:val="555555"/>
          <w:sz w:val="18"/>
        </w:rPr>
        <w:t xml:space="preserve">Elektronischer-Rechtsverkehr-Verordnung</w:t>
      </w:r>
    </w:p>
    <w:p>
      <w:r>
        <w:rPr>
          <w:color w:val="555555"/>
          <w:sz w:val="18"/>
        </w:rPr>
        <w:t xml:space="preserve">Stand: 07.01.2026 (konsolidierte Textfassung, kein amtliches Inkrafttretensdatum)</w:t>
      </w:r>
    </w:p>
    <w:p>
      <w:r>
        <w:t xml:space="preserve">(1) Zur Übermittlung elektronischer Dokumente auf einem sicheren Übermittlungsweg kann der Postfach- und Versanddienst eines Nutzerkontos im Sinne des § 2 Absatz 5 des Onlinezugangsgesetzes genutzt werden, wenn bei diesem Postfach- und Versanddienst</w:t>
      </w:r>
    </w:p>
    <w:p>
      <w:pPr>
        <w:ind w:left="420"/>
      </w:pPr>
      <w:r>
        <w:t xml:space="preserve">1. eine technische Vorrichtung besteht, die auf dem Protokollstandard OSCI oder einem diesen ersetzenden, dem jeweiligen Stand der Technik entsprechenden Protokollstandard beruht,</w:t>
      </w:r>
    </w:p>
    <w:p>
      <w:pPr>
        <w:ind w:left="420"/>
      </w:pPr>
      <w:r>
        <w:t xml:space="preserve">2. die Identität des Nutzers des Postfach- und Versanddienstes durch ein Identifizierungsmittel nach § 11 Absatz 2 Satz 2 Nummer 1 oder 2 oder durch ein nach § 87a Absatz 6 der Abgabenordnung in der Steuerverwaltung eingesetztes sicheres Verfahren festgestellt ist,</w:t>
      </w:r>
    </w:p>
    <w:p>
      <w:pPr>
        <w:ind w:left="420"/>
      </w:pPr>
      <w:r>
        <w:t xml:space="preserve">3. der Nutzer des Postfach- und Versanddienstes sich beim Versand eines elektronischen Dokuments entsprechend § 11 Absatz 3 authentisiert und</w:t>
      </w:r>
    </w:p>
    <w:p>
      <w:pPr>
        <w:ind w:left="420"/>
      </w:pPr>
      <w:r>
        <w:t xml:space="preserve">4. feststellbar ist, dass das elektronische Dokument von dem Nutzer des Postfach- und Versanddienstes versandt wurde.</w:t>
      </w:r>
    </w:p>
    <w:p>
      <w:r>
        <w:t xml:space="preserve">(2) Der Postfach- und Versanddienst muss barrierefrei sein im Sinne der Barrierefreie-Informationstechnik-Verordnung.</w:t>
      </w:r>
    </w:p>
    <w:p>
      <w:r>
        <w:t xml:space="preserve">(3) Der Nutzer des Postfach- und Versanddienstes ist in ein sicheres elektronisches Verzeichnis einzutragen, soweit dies zum Betrieb des jeweiligen Postfach- und Versanddienstes erforderlich ist. In diesem Fall gilt § 10 Absatz 2 Nummer 1 und 2 entsprechend. Der Nutzer kann jederzeit die Löschung des Postfach- und Versanddienstes veranlassen.</w:t>
      </w:r>
    </w:p>
    <w:p>
      <w:r>
        <w:rPr>
          <w:color w:val="555555"/>
          <w:sz w:val="17"/>
        </w:rPr>
        <w:t xml:space="preserve">Zitiervorschlag: § 13 ERVV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https://recht.nulegal.eu/gesetze/ERVV/13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