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ERVV — Änderung von Angaben und Löschung des Postfachs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Bei Änderung seiner Daten hat der Postfachinhaber unverzüglich die Anpassung seines Postfachs bei der nach § 11 Absatz 1 bestimmten Stelle zu veranlassen. Das betrifft insbesondere die Änderung seines Namens oder seiner Anschrift, bei juristischen Personen oder sonstigen Vereinigungen auch bei der Änderung des Sitzes.</w:t>
      </w:r>
    </w:p>
    <w:p>
      <w:r>
        <w:t xml:space="preserve">(2) Der Postfachinhaber kann jederzeit die Löschung seines besonderen elektronischen Bürger- und Organisationenpostfachs veranlassen.</w:t>
      </w:r>
    </w:p>
    <w:p>
      <w:r>
        <w:rPr>
          <w:color w:val="555555"/>
          <w:sz w:val="17"/>
        </w:rPr>
        <w:t xml:space="preserve">Zitiervorschlag: § 12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