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ERVV — Identifizierung und Authentisierung des Postfachinhabers</w:t>
      </w:r>
    </w:p>
    <w:p>
      <w:r>
        <w:rPr>
          <w:color w:val="555555"/>
          <w:sz w:val="18"/>
        </w:rPr>
        <w:t xml:space="preserve">Elektronischer-Rechtsverkehr-Verordnung</w:t>
      </w:r>
    </w:p>
    <w:p>
      <w:r>
        <w:rPr>
          <w:color w:val="555555"/>
          <w:sz w:val="18"/>
        </w:rPr>
        <w:t xml:space="preserve">Stand: 17.07.2024 (konsolidierte Textfassung, kein amtliches Inkrafttretensdatum)</w:t>
      </w:r>
    </w:p>
    <w:p>
      <w:r>
        <w:t xml:space="preserve">(1) Die Länder oder mehrere Länder gemeinsam bestimmen jeweils für ihren Bereich eine öffentlich-rechtliche Stelle, die die Freischaltung eines besonderen elektronischen Bürger- und Organisationenpostfachs veranlasst.</w:t>
      </w:r>
    </w:p>
    <w:p>
      <w:r>
        <w:t xml:space="preserve">(2) Der Postfachinhaber hat im Rahmen der Identitätsfeststellung seinen Namen und seine Anschrift nachzuweisen. Der Nachweis kann nur durch eines der folgenden Identifizierungsmittel erfolgen:</w:t>
      </w:r>
    </w:p>
    <w:p>
      <w:pPr>
        <w:ind w:left="420"/>
      </w:pPr>
      <w:r>
        <w:t xml:space="preserve">1. den elektronischen Identitätsnachweis nach § 18 des Personalausweisgesetzes, nach § 12 des eID-Karte-Gesetzes oder nach § 78 Absatz 5 des Aufenthaltsgesetzes,</w:t>
      </w:r>
    </w:p>
    <w:p>
      <w:pPr>
        <w:ind w:left="420"/>
      </w:pPr>
      <w:r>
        <w:t xml:space="preserve">2. ein qualifiziertes elektronisches Siegel nach Artikel 38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w:t>
      </w:r>
    </w:p>
    <w:p>
      <w:pPr>
        <w:ind w:left="420"/>
      </w:pPr>
      <w:r>
        <w:t xml:space="preserve">3. bei öffentlich bestellten oder beeidigten Personen, die Dolmetscher- oder Übersetzungsleistungen erbringen, eine Bestätigung der nach dem Gerichtsdolmetschergesetz oder dem jeweiligen Landesrecht für die öffentliche Bestellung und Beeidigung dieser Personen zuständigen Stelle, auch hinsichtlich der Angaben zu Berufsbezeichnung sowie zur Sprache, für die die Bestellung erfolgt,</w:t>
      </w:r>
    </w:p>
    <w:p>
      <w:pPr>
        <w:ind w:left="420"/>
      </w:pPr>
      <w:r>
        <w:t xml:space="preserve">4. bei Gerichtsvollziehern eine Bestätigung der für ihre Ernennung zuständigen Stelle, auch hinsichtlich der Dienstbezeichnung, oder</w:t>
      </w:r>
    </w:p>
    <w:p>
      <w:pPr>
        <w:ind w:left="420"/>
      </w:pPr>
      <w:r>
        <w:t xml:space="preserve">5. eine in öffentlich beglaubigter Form abgegebene Erklärung über den Namen und die Anschrift des Postfachinhabers sowie die eindeutige Bezeichnung des Postfachs.</w:t>
      </w:r>
    </w:p>
    <w:p>
      <w:r>
        <w:t xml:space="preserve">Eine nach Satz 2 Nummer 5 angegebene geschäftliche Anschrift ist durch eine Bescheinigung nach § 21 Absatz 1 der Bundesnotarordnung, einen amtlichen Registerausdruck oder eine beglaubigte Registerabschrift nachzuweisen. Geht eine angegebene geschäftliche Anschrift nicht aus einem öffentlichen Register hervor, so stellt die Stelle nach Absatz 1 diese durch geeignete Maßnahmen fest. Die Übermittlung von Daten nach Satz 2 Nummer 3 bis 5 an die in Absatz 1 genannte öffentlich-rechtliche Stelle erfolgt in strukturierter maschinenlesbarer Form. Im Fall des Satzes 2 Nummer 5 ist der öffentlich-rechtlichen Stelle zusätzlich eine öffentlich beglaubigte elektronische Abschrift der Erklärung zu übermitteln.</w:t>
      </w:r>
    </w:p>
    <w:p>
      <w:r>
        <w:t xml:space="preserve">(3) Der Postfachinhaber hat sich beim Versand eines elektronischen Dokuments zu authentisieren durch</w:t>
      </w:r>
    </w:p>
    <w:p>
      <w:pPr>
        <w:ind w:left="420"/>
      </w:pPr>
      <w:r>
        <w:t xml:space="preserve">1. den elektronischen Identitätsnachweis nach § 18 des Personalausweisgesetzes, nach § 12 des eID-Karte-Gesetzes oder nach § 78 Absatz 5 des Aufenthaltsgesetzes,</w:t>
      </w:r>
    </w:p>
    <w:p>
      <w:pPr>
        <w:ind w:left="420"/>
      </w:pPr>
      <w:r>
        <w:t xml:space="preserve">2. ein Authentisierungszertifikat, das auf einer qualifizierten elektronischen Signaturerstellungseinheit nach dem Anhang II der Verordnung (EU) Nr. 910/2014 gespeichert ist, oder</w:t>
      </w:r>
    </w:p>
    <w:p>
      <w:pPr>
        <w:ind w:left="420"/>
      </w:pPr>
      <w:r>
        <w:t xml:space="preserve">3. ein nichtqualifiziertes Authentisierungszertifikat.</w:t>
      </w:r>
    </w:p>
    <w:p>
      <w:r>
        <w:rPr>
          <w:color w:val="555555"/>
          <w:sz w:val="17"/>
        </w:rPr>
        <w:t xml:space="preserve">Zitiervorschlag: § 11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