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ERVV — Besonderes elektronisches Bürger- und Organisationenpostfach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(1) Natürliche Personen, juristische Personen sowie sonstige Vereinigungen können zur Übermittlung elektronischer Dokumente auf einem sicheren Übermittlungsweg ein besonderes elektronisches Bürger- und Organisationenpostfach verwenden,</w:t>
      </w:r>
    </w:p>
    <w:p>
      <w:pPr>
        <w:ind w:left="420"/>
      </w:pPr>
      <w:r>
        <w:t xml:space="preserve">1. das auf dem Protokollstandard OSCI oder einem diesen ersetzenden, dem jeweiligen Stand der Technik entsprechenden Protokollstandard beruht,</w:t>
      </w:r>
    </w:p>
    <w:p>
      <w:pPr>
        <w:ind w:left="420"/>
      </w:pPr>
      <w:r>
        <w:t xml:space="preserve">2. bei dem die Identität des Postfachinhabers festgestellt worden ist,</w:t>
      </w:r>
    </w:p>
    <w:p>
      <w:pPr>
        <w:ind w:left="420"/>
      </w:pPr>
      <w:r>
        <w:t xml:space="preserve">3. bei dem der Postfachinhaber in ein sicheres elektronisches Verzeichnis eingetragen ist,</w:t>
      </w:r>
    </w:p>
    <w:p>
      <w:pPr>
        <w:ind w:left="420"/>
      </w:pPr>
      <w:r>
        <w:t xml:space="preserve">4. bei dem sich der Postfachinhaber beim Versand eines elektronischen Dokuments authentisiert und</w:t>
      </w:r>
    </w:p>
    <w:p>
      <w:pPr>
        <w:ind w:left="420"/>
      </w:pPr>
      <w:r>
        <w:t xml:space="preserve">5. bei dem feststellbar ist, dass das elektronische Dokument vom Postfachinhaber versandt wurde.</w:t>
      </w:r>
    </w:p>
    <w:p>
      <w:r>
        <w:t xml:space="preserve">(2) Das besondere elektronische Bürger- und Organisationenpostfach muss</w:t>
      </w:r>
    </w:p>
    <w:p>
      <w:pPr>
        <w:ind w:left="420"/>
      </w:pPr>
      <w:r>
        <w:t xml:space="preserve">1. über eine Suchfunktion verfügen, die es ermöglicht, Inhaber eines besonderen elektronischen Anwaltspostfachs, eines besonderen elektronischen Notarpostfachs, eines besonderen elektronischen Steuerberaterpostfachs oder eines besonderen elektronischen Behördenpostfachs aufzufinden,</w:t>
      </w:r>
    </w:p>
    <w:p>
      <w:pPr>
        <w:ind w:left="420"/>
      </w:pPr>
      <w:r>
        <w:t xml:space="preserve">2. für Inhaber besonderer elektronischer Anwaltspostfächer, besonderer elektronischer Notarpostfächer, besonderer elektronischer Steuerberaterpostfächer oder besonderer elektronischer Behördenpostfächer adressierbar sein und</w:t>
      </w:r>
    </w:p>
    <w:p>
      <w:pPr>
        <w:ind w:left="420"/>
      </w:pPr>
      <w:r>
        <w:t xml:space="preserve">3. barrierefrei sein im Sinne der Barrierefreie-Informationstechnik-Verordnung.</w:t>
      </w:r>
    </w:p>
    <w:p>
      <w:r>
        <w:t xml:space="preserve">(3) Wird für eine rechtlich unselbständige Untergliederung einer juristischen Person oder sonstigen Vereinigung ein besonderes elektronisches Bürger- und Organisationenpostfach eingerichtet, so muss der Postfachinhaber so bezeichnet sein, dass eine Verwechslung mit der übergeordneten Organisationseinheit ausgeschlossen ist.</w:t>
      </w:r>
    </w:p>
    <w:p>
      <w:r>
        <w:rPr>
          <w:color w:val="555555"/>
          <w:sz w:val="17"/>
        </w:rPr>
        <w:t xml:space="preserve">Zitiervorschlag: § 10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