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ERVV — Anwendungsbereich</w:t>
      </w:r>
    </w:p>
    <w:p>
      <w:r>
        <w:rPr>
          <w:color w:val="555555"/>
          <w:sz w:val="18"/>
        </w:rPr>
        <w:t xml:space="preserve">Elektronischer-Rechtsverkehr-Verordnung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Diese Verordnung gilt für die Übermittlung elektronischer Dokumente an die Gerichte der Länder und des Bundes sowie die Bearbeitung elektronischer Dokumente durch diese Gerichte nach § 130a der Zivilprozessordnung, § 46c des Arbeitsgerichtsgesetzes, § 65a des Sozialgerichtsgesetzes, § 55a der Verwaltungsgerichtsordnung und § 52a der Finanzgerichtsordnung. Sie gilt ferner nach Maßgabe des Kapitels 5 für die Übermittlung elektronischer Dokumente an Strafverfolgungsbehörden und Strafgerichte der Länder und des Bundes nach § 32a der Strafprozessordnung sowie die Bearbeitung elektronischer Dokumente.</w:t>
      </w:r>
    </w:p>
    <w:p>
      <w:r>
        <w:t xml:space="preserve">(2) Besondere bundesrechtliche Vorschriften über die Übermittlung elektronischer Dokumente und strukturierter maschinenlesbarer Datensätze bleiben unberührt.</w:t>
      </w:r>
    </w:p>
    <w:p>
      <w:r>
        <w:rPr>
          <w:color w:val="555555"/>
          <w:sz w:val="17"/>
        </w:rPr>
        <w:t xml:space="preserve">Zitiervorschlag: § 1 ERVV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https://recht.nulegal.eu/gesetze/ERVV/1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