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ERVV Ju (Bayern) — Abrufverfahren</w:t>
      </w:r>
    </w:p>
    <w:p>
      <w:r>
        <w:rPr>
          <w:color w:val="555555"/>
          <w:sz w:val="18"/>
        </w:rPr>
        <w:t xml:space="preserve">E-Rechtsverkehrsverordnung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Abwicklung des elektronischen Abrufverfahrens aus den elektronisch geführten Registern nach § 79 Abs. 5, § 707d Abs. 2 BGB und § 9 Abs. 1 HGB, auch in Verbindung mit § 707b Nr. 2 BGB, § 156 GenG und § 5 Abs. 2 Halbsatz 1 PartGG, sind die in der Anlage 1 bezeichneten Stellen zuständig.</w:t>
      </w:r>
    </w:p>
    <w:p>
      <w:r>
        <w:rPr>
          <w:color w:val="555555"/>
          <w:sz w:val="17"/>
        </w:rPr>
        <w:t xml:space="preserve">Zitiervorschlag: § 7 ERVV 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https://recht.nulegal.eu/gesetze/ERVV%20Ju/7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ERVV Ju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