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ERVV Ju (Bayern) — Ersatzeinreichung</w:t>
      </w:r>
    </w:p>
    <w:p>
      <w:r>
        <w:rPr>
          <w:color w:val="555555"/>
          <w:sz w:val="18"/>
        </w:rPr>
        <w:t xml:space="preserve">E-Rechtsverkehrsverordnung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Ist die Entgegennahme elektronischer Dokumente über die elektronische Poststelle nicht möglich, trifft der Vorstand des Gerichts oder der Leiter der Justizbehörde im Einzelfall Anordnungen zur Einreichung von Dokumenten.</w:t>
      </w:r>
    </w:p>
    <w:p>
      <w:r>
        <w:rPr>
          <w:color w:val="555555"/>
          <w:sz w:val="17"/>
        </w:rPr>
        <w:t xml:space="preserve">Zitiervorschlag: § 4 ERVV Ju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https://recht.nulegal.eu/gesetze/ERVV%20Ju/4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ERVV Ju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