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ERVV Ju (Bayern) — Bekanntgabe der Bearbeitungsvoraussetzungen</w:t>
      </w:r>
    </w:p>
    <w:p>
      <w:r>
        <w:rPr>
          <w:color w:val="555555"/>
          <w:sz w:val="18"/>
        </w:rPr>
        <w:t xml:space="preserve">E-Rechtsverkehrsverordnung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Landesjustizverwaltung gibt auf der Internetseite des Staatsministeriums bekannt:</w:t>
      </w:r>
    </w:p>
    <w:p>
      <w:r>
        <w:t xml:space="preserve">1. die technischen Voraussetzungen zur Einreichung und Bearbeitung elektronischer Dokumente sowie die Anforderungen an die elektronischen Dokumente und an die qualifizierte elektronische Signatur,</w:t>
      </w:r>
    </w:p>
    <w:p>
      <w:r>
        <w:t xml:space="preserve">2. in Grundbuchangelegenheiten die Angaben zur höchstzulässigen Anzahl der elektronischen Dokumente und den Volumengrenzen bei einer Einreichung sowie die Angaben zu den Datenträgern für die Ersatzeinreichung nach § 20 Satz 1.</w:t>
      </w:r>
    </w:p>
    <w:p>
      <w:r>
        <w:rPr>
          <w:color w:val="555555"/>
          <w:sz w:val="17"/>
        </w:rPr>
        <w:t xml:space="preserve">Zitiervorschlag: § 3 ERVV Ju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https://recht.nulegal.eu/gesetze/ERVV%20Ju/3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