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ERVV Ju (Bayern) — Zulassung des elektronischen Rechtsverkehrs</w:t>
      </w:r>
    </w:p>
    <w:p>
      <w:r>
        <w:rPr>
          <w:color w:val="555555"/>
          <w:sz w:val="18"/>
        </w:rPr>
        <w:t xml:space="preserve">E-Rechtsverkehrsverordnung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Anwendungsbereich des § 77a Abs. 1 Satz 1 und 3 des Gesetzes über die internationale Rechtshilfe in Strafsachen (IRG) können elektronische Dokumente bei den in Anlage 3 genannten Gerichten, Staatsanwaltschaften und Behörden in dem dort genannten Umfang eingereicht werden.</w:t>
      </w:r>
    </w:p>
    <w:p>
      <w:r>
        <w:t xml:space="preserve">(2) Soweit für eingehende Rechtshilfeersuchen und für Erklärungen, Anträge oder Begründungen, die nach dem Gesetz über die internationale Rechtshilfe in Strafsachen ausdrücklich schriftlich abzufassen oder zu unterzeichnen sind, nach Abs. 1 der elektronische Rechtsverkehr zugelassen ist, müssen die elektronischen Dokumente mit einer qualifizierten elektronischen Signatur versehen sein. Für die qualifizierte elektronische Signatur gilt § 2 Abs. 3 Satz 2 und 3 entsprechend. § 77a Abs. 2 IRG bleibt unberührt.</w:t>
      </w:r>
    </w:p>
    <w:p>
      <w:r>
        <w:rPr>
          <w:color w:val="555555"/>
          <w:sz w:val="17"/>
        </w:rPr>
        <w:t xml:space="preserve">Zitiervorschlag: § 21 ERVV 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https://recht.nulegal.eu/gesetze/ERVV%20Ju/21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