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ERVDPMAV 2026 — Sonderregelungen für die Verwendung des digitalen Dienstes DPMAdirektPro</w:t>
      </w:r>
    </w:p>
    <w:p>
      <w:r>
        <w:rPr>
          <w:color w:val="555555"/>
          <w:sz w:val="18"/>
        </w:rPr>
        <w:t xml:space="preserve">Verordnung über den elektronischen Rechtsverkehr beim Deutschen Patent- und Markenamt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§ 2 Absatz 3 gilt nicht für die Einreichung elektronischer Dokumente über den digitalen Dienst DPMAdirektPro.</w:t>
      </w:r>
    </w:p>
    <w:p>
      <w:r>
        <w:t xml:space="preserve">(2) Für die Einreichung elektronischer Dokumente über den digitalen Dienst DPMAdirektPro sind diese mit einer qualifizierten elektronischen Signatur zu versehen.</w:t>
      </w:r>
    </w:p>
    <w:p>
      <w:r>
        <w:t xml:space="preserve">(3) § 5 Absatz 1 Satz 3 gilt nicht für die Zustellung elektronischer Dokumente über den digitalen Dienst DPMAdirektPro.</w:t>
      </w:r>
    </w:p>
    <w:p>
      <w:r>
        <w:t xml:space="preserve">(4) Für den Abruf elektronischer Dokumente über den digitalen Dienst DPMAdirektPro sind die hierfür vom Deutschen Patent- und Markenamt angebotenen Authentisierungsmittel zu verwenden. Das Deutsche Patent- und Markenamt gibt auf seiner Internetseite die angebotenen Authentisierungsmittel und die Einzelheiten hierzu bekannt.</w:t>
      </w:r>
    </w:p>
    <w:p>
      <w:r>
        <w:rPr>
          <w:color w:val="555555"/>
          <w:sz w:val="17"/>
        </w:rPr>
        <w:t xml:space="preserve">Zitiervorschlag: § 8 ERVDPMAV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https://recht.nulegal.eu/gesetze/ERVDPMAV%202026/8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