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ERVDPMAV 2026 — Einreichung auf einem Datenträger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Elektronische Dokumente können auch auf einem physischen Datenträger eingereicht werden.</w:t>
      </w:r>
    </w:p>
    <w:p>
      <w:r>
        <w:t xml:space="preserve">(2) Zusammen mit der Einreichung eines Datenträgers ist zu erklären, wer die darauf gespeicherten elektronischen Dokumente verantwortet. Die Erklärung ist im Original einzureichen und von der verantwortenden Person zu unterschreiben.</w:t>
      </w:r>
    </w:p>
    <w:p>
      <w:r>
        <w:t xml:space="preserve">(3) Das Deutsche Patent- und Markenamt gibt auf seiner Internetseite die zulässigen Datenträgertypen und deren Formatierungen bekannt.</w:t>
      </w:r>
    </w:p>
    <w:p>
      <w:r>
        <w:rPr>
          <w:color w:val="555555"/>
          <w:sz w:val="17"/>
        </w:rPr>
        <w:t xml:space="preserve">Zitiervorschlag: § 4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https://recht.nulegal.eu/gesetze/ERVDPMAV%202026/4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