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ERVDPMAV 2026 — Einreichung elektronischer Dokumente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Beim Deutschen Patent- und Markenamt können elektronische Dokumente in folgenden Verfahren eingereicht werden:</w:t>
      </w:r>
    </w:p>
    <w:p>
      <w:pPr>
        <w:ind w:left="420"/>
      </w:pPr>
      <w:r>
        <w:t xml:space="preserve">1. in Verfahren nach dem Patentgesetz und dem Gesetz über internationale Patentübereinkommen,</w:t>
      </w:r>
    </w:p>
    <w:p>
      <w:pPr>
        <w:ind w:left="420"/>
      </w:pPr>
      <w:r>
        <w:t xml:space="preserve">2. in Verfahren nach dem Gebrauchsmustergesetz,</w:t>
      </w:r>
    </w:p>
    <w:p>
      <w:pPr>
        <w:ind w:left="420"/>
      </w:pPr>
      <w:r>
        <w:t xml:space="preserve">3. in Verfahren nach dem Markengesetz und der Verordnung (EU) 2023/2411,</w:t>
      </w:r>
    </w:p>
    <w:p>
      <w:pPr>
        <w:ind w:left="420"/>
      </w:pPr>
      <w:r>
        <w:t xml:space="preserve">4. in Verfahren nach dem Designgesetz.</w:t>
      </w:r>
    </w:p>
    <w:p>
      <w:r>
        <w:t xml:space="preserve">(2) Elektronische Dokumente, die ein Staatsgeheimnis (§ 93 des Strafgesetzbuches) enthalten können, dürfen abweichend von Absatz 1 nicht eingereicht werden.</w:t>
      </w:r>
    </w:p>
    <w:p>
      <w:r>
        <w:t xml:space="preserve">(3) Materiell-rechtliche Formerfordernisse bleiben unberührt.</w:t>
      </w:r>
    </w:p>
    <w:p>
      <w:r>
        <w:rPr>
          <w:color w:val="555555"/>
          <w:sz w:val="17"/>
        </w:rPr>
        <w:t xml:space="preserve">Zitiervorschlag: § 1 ERVDPMAV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https://recht.nulegal.eu/gesetze/ERVDPMAV%202026/1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