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ERVDPMAV 2013 — Zustellung elektronischer Dokumente</w:t>
      </w:r>
    </w:p>
    <w:p>
      <w:r>
        <w:rPr>
          <w:color w:val="555555"/>
          <w:sz w:val="18"/>
        </w:rPr>
        <w:t xml:space="preserve">Verordnung über den elektronischen Rechtsverkehr beim Deutschen Patent- und Markenamt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(1) Im Rahmen einer elektronischen Zustellung sind elektronische Dokumente für die Übermittlung mit einer fortgeschrittenen oder qualifizierten elektronischen Signatur nach Artikel 3 Nummer 11 und 12 der Verordnung (EU) Nr. 910/2014 zu versehen. Dabei kann die gesamte elektronische Nachricht mit einer Signatur versehen werden.</w:t>
      </w:r>
    </w:p>
    <w:p>
      <w:r>
        <w:t xml:space="preserve">(2) Die elektronische Zustellung kann durch Übermittlung der elektronischen Dokumente mittels der Zugangs- und Übertragungssoftware nach § 3 Absatz 1 Satz 2 erfolgen. Ebenso kann sie durch Übermittlung der elektronischen Dokumente mittels De-Mail-Nachricht nach § 5 Absatz 5 des De-Mail-Gesetzes, bei der die Signatur des Dienstanbieters das Deutsche Patent- und Markenamt als Nutzer des De-Mail-Kontos erkennen lässt, erfolgen.</w:t>
      </w:r>
    </w:p>
    <w:p>
      <w:r>
        <w:t xml:space="preserve">(3) Elektronische Zustellungen, die mittels der Zugangs- und Übertragungssoftware nach § 3 Absatz 1 Satz 2 erfolgen, sind mit dem Hinweis „Zustellung gegen Empfangsbekenntnis“ zu kennzeichnen. Die Nachricht muss das Deutsche Patent- und Markenamt als absendende Behörde sowie den Namen und die Anschrift des Zustellungsadressaten erkennen lassen.</w:t>
      </w:r>
    </w:p>
    <w:p>
      <w:r>
        <w:t xml:space="preserve">(4) Für den Nachweis der Zustellung nach Absatz 2 gilt § 5 Absatz 7 des Verwaltungszustellungsgesetzes mit der Maßgabe, dass das Empfangsbekenntnis bei einer elektronischen Rücksendung zu versehen ist</w:t>
      </w:r>
    </w:p>
    <w:p>
      <w:pPr>
        <w:ind w:left="420"/>
      </w:pPr>
      <w:r>
        <w:t xml:space="preserve">1. mit einer qualifizierten elektronischen Signatur oder</w:t>
      </w:r>
    </w:p>
    <w:p>
      <w:pPr>
        <w:ind w:left="420"/>
      </w:pPr>
      <w:r>
        <w:t xml:space="preserve">2. mit einer fortgeschrittenen elektronischen Signatur, die</w:t>
      </w:r>
    </w:p>
    <w:p>
      <w:pPr>
        <w:ind w:left="780"/>
      </w:pPr>
      <w:r>
        <w:t xml:space="preserve">a) von einer internationalen, auf dem Gebiet des gewerblichen Rechtsschutzes tätigen Organisation herausgegeben wird und</w:t>
      </w:r>
    </w:p>
    <w:p>
      <w:pPr>
        <w:ind w:left="780"/>
      </w:pPr>
      <w:r>
        <w:t xml:space="preserve">b) sich zur Bearbeitung durch das Deutsche Patent- und Markenamt eignet.</w:t>
      </w:r>
    </w:p>
    <w:p>
      <w:r>
        <w:t xml:space="preserve">§ 3 Absatz 3 Satz 2 gilt entsprechend.</w:t>
      </w:r>
    </w:p>
    <w:p>
      <w:r>
        <w:t xml:space="preserve">(5) Für die Zustellung elektronischer Dokumente findet § 7 Absatz 2 des Verwaltungszustellungsgesetzes keine Anwendung.</w:t>
      </w:r>
    </w:p>
    <w:p>
      <w:r>
        <w:rPr>
          <w:color w:val="555555"/>
          <w:sz w:val="17"/>
        </w:rPr>
        <w:t xml:space="preserve">Zitiervorschlag: § 5 ERVDPMAV 2013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https://recht.nulegal.eu/gesetze/ERVDPMAV%202013/5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