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ERVDPMAV 2013 — Signaturgebundene elektronische Kommunikation</w:t>
      </w:r>
    </w:p>
    <w:p>
      <w:r>
        <w:rPr>
          <w:color w:val="555555"/>
          <w:sz w:val="18"/>
        </w:rPr>
        <w:t xml:space="preserve">Verordnung über den elektronischen Rechtsverkehr beim Deutschen Patent- und Markenamt</w:t>
      </w:r>
    </w:p>
    <w:p>
      <w:r>
        <w:rPr>
          <w:color w:val="555555"/>
          <w:sz w:val="18"/>
        </w:rPr>
        <w:t xml:space="preserve">Historische Fassung: Stand 10.06.2019 bis 14.03.2026. Dies ist nicht die aktuelle Fassung.</w:t>
      </w:r>
    </w:p>
    <w:p>
      <w:r>
        <w:t xml:space="preserve">(1) Beim Deutschen Patent- und Markenamt können elektronische Dokumente in folgenden Verfahren signaturgebunden eingereicht werden:</w:t>
      </w:r>
    </w:p>
    <w:p>
      <w:pPr>
        <w:ind w:left="420"/>
      </w:pPr>
      <w:r>
        <w:t xml:space="preserve">1. in Verfahren nach dem Patentgesetz und dem Gesetz über internationale Patentübereinkommen,</w:t>
      </w:r>
    </w:p>
    <w:p>
      <w:pPr>
        <w:ind w:left="420"/>
      </w:pPr>
      <w:r>
        <w:t xml:space="preserve">2. in Verfahren nach dem Gebrauchsmustergesetz,</w:t>
      </w:r>
    </w:p>
    <w:p>
      <w:pPr>
        <w:ind w:left="420"/>
      </w:pPr>
      <w:r>
        <w:t xml:space="preserve">3. in Verfahren nach dem Markengesetz,</w:t>
      </w:r>
    </w:p>
    <w:p>
      <w:pPr>
        <w:ind w:left="420"/>
      </w:pPr>
      <w:r>
        <w:t xml:space="preserve">4. in Verfahren nach dem Designgesetz.</w:t>
      </w:r>
    </w:p>
    <w:p>
      <w:r>
        <w:t xml:space="preserve">(2) Materiell-rechtliche Formerfordernisse bleiben unberührt.</w:t>
      </w:r>
    </w:p>
    <w:p>
      <w:r>
        <w:rPr>
          <w:color w:val="555555"/>
          <w:sz w:val="17"/>
        </w:rPr>
        <w:t xml:space="preserve">Zitiervorschlag: § 1 ERVDPMAV 2013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https://recht.nulegal.eu/gesetze/ERVDPMAV%202013/1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