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ERVBußSubV</w:t>
      </w:r>
    </w:p>
    <w:p>
      <w:r>
        <w:rPr>
          <w:color w:val="555555"/>
          <w:sz w:val="18"/>
        </w:rPr>
        <w:t xml:space="preserve">Elektronischer-Rechtsverkehr-Bußgeld-Subdelegationsverordnung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Auf Grund des § 134 Satz 2 des Gesetzes über Ordnungswidrigkeiten, der durch Artikel 8 Nummer 14 des Gesetzes vom 5. Juli 2017 (BGBl. I S. 2208) neu gefasst worden ist, verordnet die Bundesregierung:</w:t>
      </w:r>
    </w:p>
    <w:p>
      <w:r>
        <w:rPr>
          <w:color w:val="555555"/>
          <w:sz w:val="17"/>
        </w:rPr>
        <w:t xml:space="preserve">Zitiervorschlag: Eingangsformel ERVBußSubV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https://recht.nulegal.eu/gesetze/ERVBu%C3%9FSubV/eingangsformel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