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ERVBußSubV — Übertragung der Verordnungsermächtigung</w:t>
      </w:r>
    </w:p>
    <w:p>
      <w:r>
        <w:rPr>
          <w:color w:val="555555"/>
          <w:sz w:val="18"/>
        </w:rPr>
        <w:t xml:space="preserve">Elektronischer-Rechtsverkehr-Bußgeld-Subdelegationsverordnung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Die in § 134 Satz 1 des Gesetzes über Ordnungswidrigkeiten enthaltene Ermächtigung wird auf die zuständigen Bundesministerien übertragen.</w:t>
      </w:r>
    </w:p>
    <w:p>
      <w:r>
        <w:rPr>
          <w:color w:val="555555"/>
          <w:sz w:val="17"/>
        </w:rPr>
        <w:t xml:space="preserve">Zitiervorschlag: § 1 ERVBußSubV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https://recht.nulegal.eu/gesetze/ERVBu%C3%9FSubV/1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ERVBußSubV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