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ERPWiPlanG 2026 — Bericht der KfW gemäß § 8 des ERP-Verwaltungsgesetzes über die Verwendung des eingebrachten Eigenkapitals und des gewährten Nachrangdarlehens</w:t>
      </w:r>
    </w:p>
    <w:p>
      <w:r>
        <w:rPr>
          <w:color w:val="555555"/>
          <w:sz w:val="18"/>
        </w:rPr>
        <w:t xml:space="preserve">ERP-Wirtschaftsplangesetz 2026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(Fundstelle: BGBl. 2025 I Nr. 346, S. 18)</w:t>
      </w:r>
    </w:p>
    <w:p>
      <w:r>
        <w:t xml:space="preserve">Im Jahr 2024 wurde in der Mittelstandsfinanzierung aus den ERP-Förderprogrammen ein Finanzierungsvolumen von rd. 8,3 Mrd. EUR gebunden, die Förderlast belief sich im genannten Zeitraum auf 238,3 Mio. EUR.</w:t>
      </w:r>
    </w:p>
    <w:p>
      <w:r>
        <w:t xml:space="preserve">Die ERP-Förderrücklage wird im Rahmen dieses Finanzierungsbedarfs eingesetzt, darüber hinaus dient sie als Eigenkapital der risikoseitigen Unterlegung der ERP-Förderkredite.</w:t>
      </w:r>
    </w:p>
    <w:p>
      <w:r>
        <w:t xml:space="preserve">Das seit 2007 im Rahmen der Neuordnung der ERP-Wirtschaftsförderung eingebrachte Kapital hat die KfW für den Zeitraum vom 01.01. bis 31.12.2024 vertragsgemäß wie folgt vergütet:</w:t>
      </w:r>
    </w:p>
    <w:p>
      <w:pPr>
        <w:ind w:left="420"/>
      </w:pPr>
      <w:r>
        <w:t xml:space="preserve">• Vergütung der ERP-Förderrücklage gemäß § 8 des „Durchführungsvertrages 2019“ durch Teilnahme der Rücklagen an der jährlichen Verteilung des nach den Vorabdotierungen verbleibenden handelsrechtlichen Jahresergebnisses der KfW.</w:t>
      </w:r>
    </w:p>
    <w:p>
      <w:pPr>
        <w:ind w:left="420"/>
      </w:pPr>
      <w:r>
        <w:t xml:space="preserve">• Die in den Vorjahren nicht zur ERP-Förderung eingesetzten anteiligen Jahresergebnisse werden einer separaten Gewinnrücklage zugeführt (ERP-Gewinnrücklagen I), die für die ERP-Förderung in Folgejahren eingesetzt werden können.</w:t>
      </w:r>
    </w:p>
    <w:p>
      <w:pPr>
        <w:ind w:left="420"/>
      </w:pPr>
      <w:r>
        <w:t xml:space="preserve">• Die gemäß § 6 des „Durchführungsvertrages 2019“ als gesonderte Gewinnrücklage gebildete ERP-Risikodeckungsmasse dient vorrangig der Abdeckung der Risiken aus dem ERP-Beteiligungsportfolio in der KfW Capital. Anpassungen der ERP-Risikodeckungsmasse an die Höhe des ERP-Beteiligungsvolumens in der KfW Capital erfolgen zu Lasten bzw. zu Gunsten der ERP-Gewinnrücklage I.</w:t>
      </w:r>
    </w:p>
    <w:p>
      <w:pPr>
        <w:ind w:left="420"/>
      </w:pPr>
      <w:r>
        <w:t xml:space="preserve">• Die Gewinnrücklagen nehmen ebenfalls an der Verteilung des nach den Vorabdotierungen verbleibenden handelsrechtlichen Jahresergebnisses der KfW teil.</w:t>
      </w:r>
    </w:p>
    <w:p>
      <w:r>
        <w:t xml:space="preserve">Die entsprechenden Anteile am zu verteilenden Jahresüberschuss der KfW beliefen sich für das Geschäftsjahr 2024 auf 357,2 Mio. EUR und verteilten sich wie folgt auf die ERP-Rücklagen:</w:t>
      </w:r>
    </w:p>
    <w:p>
      <w:pPr>
        <w:ind w:left="420"/>
      </w:pPr>
      <w:r>
        <w:t xml:space="preserve">• 239,6 Mio. EUR für die ERP-Förderrücklage</w:t>
      </w:r>
    </w:p>
    <w:p>
      <w:pPr>
        <w:ind w:left="420"/>
      </w:pPr>
      <w:r>
        <w:t xml:space="preserve">• 56,9 Mio. EUR für die ERP-Gewinnrücklage I</w:t>
      </w:r>
    </w:p>
    <w:p>
      <w:pPr>
        <w:ind w:left="420"/>
      </w:pPr>
      <w:r>
        <w:t xml:space="preserve">• 60,7 Mio. EUR für die ERP-Risikodeckungsmasse.</w:t>
      </w:r>
    </w:p>
    <w:p>
      <w:r>
        <w:t xml:space="preserve">Diese zur Abdeckung der ERP-Förderlasten 2024 zur Verfügung stehenden Erträge aus dem in die KfW eingebrachten Kapital wurden wie folgt eingesetzt:</w:t>
      </w:r>
    </w:p>
    <w:p>
      <w:pPr>
        <w:ind w:left="420"/>
      </w:pPr>
      <w:r>
        <w:t xml:space="preserve">1. Abdeckung der Förderlasten aus der ERP-Wirtschaftsförderung 2024 in Höhe von 238,3 Mio. EUR.</w:t>
      </w:r>
    </w:p>
    <w:p>
      <w:pPr>
        <w:ind w:left="420"/>
      </w:pPr>
      <w:r>
        <w:t xml:space="preserve">2. Die danach verbleibenden Mittel in Höhe von 118,9 Mio. EUR wurden gemäß den vertraglichen Regelungen der ERP-Gewinnrücklage I zugeführt. Da das ERP-Beteiligungsvolumen der KfW Capital in Höhe von 2 004,8 Mio. EUR den Saldo vom 31.12.2023 von 1 748,0 Mio. EUR übersteigt, war eine Dotierung der ERP-Risikodeckungsmasse zum 31.12.2024 mit 256,8 Mio. EUR zulasten der ERP-Gewinnrücklage I erforderlich. Hiernach beläuft sich der Saldo der ERP-Gewinnrücklage I zum 31.12.2024 auf 1 501,1 Mio. EUR. Der Saldo der ERP-Risikodeckungsmasse zum 31.12.2024 beläuft sich auf 2 004,8 Mio. EUR.</w:t>
      </w:r>
    </w:p>
    <w:p>
      <w:r>
        <w:t xml:space="preserve">Somit wurden die aus dem eingebrachten Kapital erzielten Erträge für die ERP-Förderung eingesetzt bzw. dem ERP-Sondervermögen zugeführt. Die Ordnungsmäßigkeit der Berichterstattung zum 31.12.2024 wird vertragsgemäß durch einen Wirtschaftsprüfer geprüft und bestätigt.</w:t>
      </w:r>
    </w:p>
    <w:p>
      <w:r>
        <w:rPr>
          <w:color w:val="555555"/>
          <w:sz w:val="17"/>
        </w:rPr>
        <w:t xml:space="preserve">Zitiervorschlag: Anlage 3 ERPWiPlanG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https://recht.nulegal.eu/gesetze/ERPWiPlanG%202026/anlage-3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ERPWiPlanG 2026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