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ERPWiPlanG 2026 — Inkrafttreten</w:t>
      </w:r>
    </w:p>
    <w:p>
      <w:r>
        <w:rPr>
          <w:color w:val="555555"/>
          <w:sz w:val="18"/>
        </w:rPr>
        <w:t xml:space="preserve">ERP-Wirtschaftsplangesetz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Dieses Gesetz tritt am 1. Januar 2026 in Kraft.</w:t>
      </w:r>
    </w:p>
    <w:p>
      <w:r>
        <w:rPr>
          <w:color w:val="555555"/>
          <w:sz w:val="17"/>
        </w:rPr>
        <w:t xml:space="preserve">Zitiervorschlag: § 7 ERPWiPlanG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https://recht.nulegal.eu/gesetze/ERPWiPlanG%202026/7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