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ERPWiPlanG 2026 — Befristung</w:t>
      </w:r>
    </w:p>
    <w:p>
      <w:r>
        <w:rPr>
          <w:color w:val="555555"/>
          <w:sz w:val="18"/>
        </w:rPr>
        <w:t xml:space="preserve">ERP-Wirtschaftsplangesetz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 §§ 2 bis 5 treten am Tag der Verkündung des ERP-Wirtschaftsplangesetzes 2027, frühestens jedoch am 31. Dezember 2026, außer Kraft.</w:t>
      </w:r>
    </w:p>
    <w:p>
      <w:r>
        <w:rPr>
          <w:color w:val="555555"/>
          <w:sz w:val="17"/>
        </w:rPr>
        <w:t xml:space="preserve">Zitiervorschlag: § 6 ERPWiPlanG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