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ERPWiPlanG 2026 — Vom Verwendungszweck ausgenommene Beträge</w:t>
      </w:r>
    </w:p>
    <w:p>
      <w:r>
        <w:rPr>
          <w:color w:val="555555"/>
          <w:sz w:val="18"/>
        </w:rPr>
        <w:t xml:space="preserve">ERP-Wirtschaftsplangesetz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Die in Kapitel 1 Titel 681 02 und 681 03 veranschlagten Beträge und Verpflichtungsermächtigungen sind von der Begrenzung der in § 2 des ERP-Verwaltungsgesetzes festgelegten Zweckbestimmung ausgenommen.</w:t>
      </w:r>
    </w:p>
    <w:p>
      <w:r>
        <w:rPr>
          <w:color w:val="555555"/>
          <w:sz w:val="17"/>
        </w:rPr>
        <w:t xml:space="preserve">Zitiervorschlag: § 5 ERPWiPlanG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https://recht.nulegal.eu/gesetze/ERPWiPlanG%202026/5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