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ERPWiPlanG 2026 — Zulässige Mehrausgaben ohne Nachtragswirtschaftsplan</w:t>
      </w:r>
    </w:p>
    <w:p>
      <w:r>
        <w:rPr>
          <w:color w:val="555555"/>
          <w:sz w:val="18"/>
        </w:rPr>
        <w:t xml:space="preserve">ERP-Wirtschaftsplangesetz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Wird gegenüber dem ERP-Wirtschaftsplan infolge eines unvorhergesehenen und unabweisbaren Bedürfnisses eine Mehrausgabe erforderlich (Artikel 112 des Grundgesetzes), so bedarf es keines Nachtragswirtschaftsplans, wenn die Mehrausgabe im Einzelfall einen Betrag von 5 000 000 Euro nicht überschreitet oder wenn Rechtsverpflichtungen zu erfüllen sind.</w:t>
      </w:r>
    </w:p>
    <w:p>
      <w:r>
        <w:rPr>
          <w:color w:val="555555"/>
          <w:sz w:val="17"/>
        </w:rPr>
        <w:t xml:space="preserve">Zitiervorschlag: § 3 ERPWiPlanG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https://recht.nulegal.eu/gesetze/ERPWiPlanG%202026/3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