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ERPWiPlanG 2026 — Feststellung des Wirtschaftsplans des ERP-Sondervermögens</w:t>
      </w:r>
    </w:p>
    <w:p>
      <w:r>
        <w:rPr>
          <w:color w:val="555555"/>
          <w:sz w:val="18"/>
        </w:rPr>
        <w:t xml:space="preserve">ERP-Wirtschaftsplangesetz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Der Wirtschaftsplan des ERP-Sondervermögens für das Jahr 2026, der diesem Gesetz als Anlage beigefügt und nach § 8 Absatz 1 Satz 1 des ERP-Verwaltungsgesetzes vom 26. Juni 2007 (BGBl. I S. 1160), geändert durch Artikel 246 der Verordnung vom 31. August 2015 (BGBl. I S. 1474), aufgestellt worden ist, wird in Einnahmen und Ausgaben auf 1 324 030 000 Euro festgestellt.</w:t>
      </w:r>
    </w:p>
    <w:p>
      <w:r>
        <w:rPr>
          <w:color w:val="555555"/>
          <w:sz w:val="17"/>
        </w:rPr>
        <w:t xml:space="preserve">Zitiervorschlag: § 1 ERPWiPlanG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