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ERPWiPlanG 2025 — Befristung</w:t>
      </w:r>
    </w:p>
    <w:p>
      <w:r>
        <w:rPr>
          <w:color w:val="555555"/>
          <w:sz w:val="18"/>
        </w:rPr>
        <w:t xml:space="preserve">ERP-Wirtschaftsplangesetz 2025</w:t>
      </w:r>
    </w:p>
    <w:p>
      <w:r>
        <w:rPr>
          <w:color w:val="555555"/>
          <w:sz w:val="18"/>
        </w:rPr>
        <w:t xml:space="preserve">Historische Fassung: Stand 13.04.2025 bis 13.05.2026. Dies ist nicht die aktuelle Fassung.</w:t>
      </w:r>
    </w:p>
    <w:p>
      <w:r>
        <w:t xml:space="preserve">Die §§ 2 bis 5 treten am Tag der Verkündung des ERP-Wirtschaftsplangesetzes 2026, frühestens jedoch am 31. Dezember 2025, außer Kraft.</w:t>
      </w:r>
    </w:p>
    <w:p>
      <w:r>
        <w:rPr>
          <w:color w:val="555555"/>
          <w:sz w:val="17"/>
        </w:rPr>
        <w:t xml:space="preserve">Zitiervorschlag: § 6 ERPWiPlanG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