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ERPWiPlanG 2025 — Vom Verwendungszweck ausgenommene Beträge</w:t>
      </w:r>
    </w:p>
    <w:p>
      <w:r>
        <w:rPr>
          <w:color w:val="555555"/>
          <w:sz w:val="18"/>
        </w:rPr>
        <w:t xml:space="preserve">ERP-Wirtschaftsplangesetz 2025</w:t>
      </w:r>
    </w:p>
    <w:p>
      <w:r>
        <w:rPr>
          <w:color w:val="555555"/>
          <w:sz w:val="18"/>
        </w:rPr>
        <w:t xml:space="preserve">Historische Fassung: Stand 13.04.2025 bis 13.05.2026. Dies ist nicht die aktuelle Fassung.</w:t>
      </w:r>
    </w:p>
    <w:p>
      <w:r>
        <w:t xml:space="preserve">Die in Kapitel 1 Titel 681 02 und 681 03 veranschlagten Beträge und Verpflichtungsermächtigungen sind von der Begrenzung der in § 2 des ERP-Verwaltungsgesetzes festgelegten Zweckbestimmung ausgenommen.</w:t>
      </w:r>
    </w:p>
    <w:p>
      <w:r>
        <w:rPr>
          <w:color w:val="555555"/>
          <w:sz w:val="17"/>
        </w:rPr>
        <w:t xml:space="preserve">Zitiervorschlag: § 5 ERPWiPlanG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