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ERPWiPlanG 2023 — Ermächtigung zur Kreditaufnahme</w:t>
      </w:r>
    </w:p>
    <w:p>
      <w:r>
        <w:rPr>
          <w:color w:val="555555"/>
          <w:sz w:val="18"/>
        </w:rPr>
        <w:t xml:space="preserve">ERP-Wirtschaftsplangesetz 2023</w:t>
      </w:r>
    </w:p>
    <w:p>
      <w:r>
        <w:rPr>
          <w:color w:val="555555"/>
          <w:sz w:val="18"/>
        </w:rPr>
        <w:t xml:space="preserve">Historische Fassung: Stand 01.01.2023 bis 11.01.2024. Dies ist nicht die aktuelle Fassung.</w:t>
      </w:r>
    </w:p>
    <w:p>
      <w:r>
        <w:t xml:space="preserve">Das Bundesministerium für Wirtschaft und Klimaschutz wird ermächtigt, Kredite bei der Kreditanstalt für Wiederaufbau bis zu der Höhe von 30 Prozent des in § 1 festgestellten Betrages aufzunehmen.</w:t>
      </w:r>
    </w:p>
    <w:p>
      <w:r>
        <w:rPr>
          <w:color w:val="555555"/>
          <w:sz w:val="17"/>
        </w:rPr>
        <w:t xml:space="preserve">Zitiervorschlag: § 2 ERPWiPlanG 2023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