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ERPWiPlanG 2019 — Befristung</w:t>
      </w:r>
    </w:p>
    <w:p>
      <w:r>
        <w:rPr>
          <w:color w:val="555555"/>
          <w:sz w:val="18"/>
        </w:rPr>
        <w:t xml:space="preserve">ERP-Wirtschaftsplangesetz 2019</w:t>
      </w:r>
    </w:p>
    <w:p>
      <w:r>
        <w:rPr>
          <w:color w:val="555555"/>
          <w:sz w:val="18"/>
        </w:rPr>
        <w:t xml:space="preserve">Historische Fassung: Stand 10.06.2019 bis 08.12.2020. Dies ist nicht die aktuelle Fassung.</w:t>
      </w:r>
    </w:p>
    <w:p>
      <w:r>
        <w:t xml:space="preserve">Die §§ 2 bis 5 treten am Tag der Verkündung des ERP-Wirtschaftsplangesetzes 2020 außer Kraft.</w:t>
      </w:r>
    </w:p>
    <w:p>
      <w:r>
        <w:rPr>
          <w:color w:val="555555"/>
          <w:sz w:val="17"/>
        </w:rPr>
        <w:t xml:space="preserve">Zitiervorschlag: § 6 ERPWiPlanG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https://recht.nulegal.eu/gesetze/ERPWiPlanG%202019/6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