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Sondervermögen ist von dem übrigen Vermögen des Bundes, seinen Rechten und Verbindlichkeiten getrennt zu halten.</w:t>
      </w:r>
    </w:p>
    <w:p>
      <w:r>
        <w:t xml:space="preserve">(2) Der Bund haftet für die Verbindlichkeiten des ERP-Sondervermögens; dieses haftet nicht für die sonstigen Verbindlichkeiten des Bundes.</w:t>
      </w:r>
    </w:p>
    <w:p>
      <w:r>
        <w:rPr>
          <w:color w:val="555555"/>
          <w:sz w:val="17"/>
        </w:rPr>
        <w:t xml:space="preserve">Zitiervorschlag: § 4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