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ERPVwG</w:t>
      </w:r>
    </w:p>
    <w:p>
      <w:r>
        <w:rPr>
          <w:color w:val="555555"/>
          <w:sz w:val="18"/>
        </w:rPr>
        <w:t xml:space="preserve">Gesetz über die Verwaltung des ERP-Sondervermögens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die Verpflichtungen des Sondervermögens, Abgaben an den Bund, die Länder, die Gemeinden (Gemeindeverbände) und Körperschaften des öffentlichen Rechts zu entrichten, finden die allgemein für Bundesbehörden geltenden Vorschriften Anwendung.</w:t>
      </w:r>
    </w:p>
    <w:p>
      <w:r>
        <w:rPr>
          <w:color w:val="555555"/>
          <w:sz w:val="17"/>
        </w:rPr>
        <w:t xml:space="preserve">Zitiervorschlag: § 15 ERPVwG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https://recht.nulegal.eu/gesetze/ERPVwG/15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