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ERPVwG</w:t>
      </w:r>
    </w:p>
    <w:p>
      <w:r>
        <w:rPr>
          <w:color w:val="555555"/>
          <w:sz w:val="18"/>
        </w:rPr>
        <w:t xml:space="preserve">Gesetz über die Verwaltung des ERP-Sondervermögens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Bundeshaushaltsordnung vom 19. August 1969 (BGBl. I S. 1284), zuletzt geändert durch das Gesetz vom 18. Juli 1990 (BGBl. I S. 1447), ist auch auf das Sondervermögen anzuwenden, soweit sich aus diesem Gesetz nichts Abweichendes ergibt.</w:t>
      </w:r>
    </w:p>
    <w:p>
      <w:r>
        <w:rPr>
          <w:color w:val="555555"/>
          <w:sz w:val="17"/>
        </w:rPr>
        <w:t xml:space="preserve">Zitiervorschlag: § 14 ERPVwG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https://recht.nulegal.eu/gesetze/ERPVwG/14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