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Wirtschaft und Technologie wird ermächtigt, im Einvernehmen mit dem Bundesministerium der Finanzen im Rahmen der Kreditermächtigung des jährlichen ERP-Wirtschaftsplans Kredite aufzunehmen.</w:t>
      </w:r>
    </w:p>
    <w:p>
      <w:r>
        <w:t xml:space="preserve">(2) Das Bundesministerium für Wirtschaft und Technologie wird ermächtigt, zum Ankauf von Schuldtiteln des ERP-Sondervermögens im Wege der Marktpflege Kredite bis zu 10 vom Hundert des Betrages der umlaufenden Schuldtitel aufzunehmen.</w:t>
      </w:r>
    </w:p>
    <w:p>
      <w:r>
        <w:t xml:space="preserve">(3) Die Kreditaufnahme erfolgt durch die Ausgabe von Schuldverschreibungen und Schatzwechseln oder durch Aufnahme von Darlehen gegen Schuldschein.</w:t>
      </w:r>
    </w:p>
    <w:p>
      <w:r>
        <w:t xml:space="preserve">(4) Die Schuldurkunden des ERP-Sondervermögens stehen den Schuldurkunden des Bundes gleich.</w:t>
      </w:r>
    </w:p>
    <w:p>
      <w:r>
        <w:t xml:space="preserve">(5) Die nach den Absätzen 1 und 2 zu begründenden Verbindlichkeiten werden nach den für die Verwaltung der allgemeinen Bundesschuld geltenden gesetzlichen Vorschriften verwaltet. Die nach § 5 Abs. 3 zu übernehmenden Gewährleistungen und Bürgschaften werden durch das Bundesamt für zentrale Dienste und offene Vermögensfragen verwaltet. Gesetzliche Befugnisse, die nach den Sätzen 1 und 2 dem Bundesministerium der Finanzen zustehen, werden von diesem und dem Bundesministerium für Wirtschaft und Technologie gemeinsam ausgeübt.</w:t>
      </w:r>
    </w:p>
    <w:p>
      <w:r>
        <w:rPr>
          <w:color w:val="555555"/>
          <w:sz w:val="17"/>
        </w:rPr>
        <w:t xml:space="preserve">Zitiervorschlag: § 10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