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5 ERPVerwG 2007 — Substanzerhaltungsgebot</w:t>
      </w:r>
    </w:p>
    <w:p>
      <w:r>
        <w:rPr>
          <w:color w:val="555555"/>
          <w:sz w:val="18"/>
        </w:rPr>
        <w:t xml:space="preserve">ERP-Verwaltungsgesetz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Das Sondervermögen soll in seinem Bestand erhalten bleiben. Es ist nach wirtschaftlichen Grundsätzen zu verwalten.</w:t>
      </w:r>
    </w:p>
    <w:p>
      <w:r>
        <w:rPr>
          <w:color w:val="555555"/>
          <w:sz w:val="17"/>
        </w:rPr>
        <w:t xml:space="preserve">Zitiervorschlag: § 5 ERPVerwG 2007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https://recht.nulegal.eu/gesetze/ERPVerwG%202007/5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