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ERPVerwG 2007 — Rechtsgeschäftlicher Verkehr</w:t>
      </w:r>
    </w:p>
    <w:p>
      <w:r>
        <w:rPr>
          <w:color w:val="555555"/>
          <w:sz w:val="18"/>
        </w:rPr>
        <w:t xml:space="preserve">ERP-Verwaltungsgesetz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Sondervermögen ist nicht rechtsfähig. Es kann unter seinem Namen im rechtsgeschäftlichen Verkehr handeln, klagen und verklagt werden. Der allgemeine Gerichtsstand des Sondervermögens ist Berlin.</w:t>
      </w:r>
    </w:p>
    <w:p>
      <w:r>
        <w:rPr>
          <w:color w:val="555555"/>
          <w:sz w:val="17"/>
        </w:rPr>
        <w:t xml:space="preserve">Zitiervorschlag: § 3 ERPVerwG 2007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https://recht.nulegal.eu/gesetze/ERPVerwG%202007/3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