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ERPSchG</w:t>
      </w:r>
    </w:p>
    <w:p>
      <w:r>
        <w:rPr>
          <w:color w:val="555555"/>
          <w:sz w:val="18"/>
        </w:rPr>
        <w:t xml:space="preserve">Gesetz zur Mitübernahme der Schulden und Rechte des ERP-Sondervermögens in die Bundesschuld und in das Bundesvermögen, über die Zuführung von Mitteln aus dem ERP-Sondervermögen an den Bundeshaushalt sowie über die Einbringung von ERP-Vermögen in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Innenverhältnis zum ERP-Sondervermögen ist der Bund alleiniger Schuldner der nach § 1 übernommenen Verbindlichkeiten und alleiniger Gläubiger der nach § 1 übernommenen Kreditforderungen und sonstigen Rechte.</w:t>
      </w:r>
    </w:p>
    <w:p>
      <w:r>
        <w:rPr>
          <w:color w:val="555555"/>
          <w:sz w:val="17"/>
        </w:rPr>
        <w:t xml:space="preserve">Zitiervorschlag: § 2 ERPSchG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