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ERPEntwHiG</w:t>
      </w:r>
    </w:p>
    <w:p>
      <w:r>
        <w:rPr>
          <w:color w:val="555555"/>
          <w:sz w:val="18"/>
        </w:rPr>
        <w:t xml:space="preserve">ERP-Entwicklungshilfegesetz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Förderungsmittel bleiben Bestandteil des ERP-Sondervermögens.</w:t>
      </w:r>
    </w:p>
    <w:p>
      <w:r>
        <w:t xml:space="preserve">(2) Auf die Verwaltung der Mittel findet das Gesetz über die Verwaltung des ERP-Sondervermögens vom 31. August 1953 (Bundesgesetzbl. I S. 1312), mit Ausnahme des § 2, Anwendung.</w:t>
      </w:r>
    </w:p>
    <w:p>
      <w:r>
        <w:rPr>
          <w:color w:val="555555"/>
          <w:sz w:val="17"/>
        </w:rPr>
        <w:t xml:space="preserve">Zitiervorschlag: § 5 ERPEntwHiG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https://recht.nulegal.eu/gesetze/ERPEntwHiG/5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