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ERPEntwHiG</w:t>
      </w:r>
    </w:p>
    <w:p>
      <w:r>
        <w:rPr>
          <w:color w:val="555555"/>
          <w:sz w:val="18"/>
        </w:rPr>
        <w:t xml:space="preserve">ERP-Entwicklungshilfegesetz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Bundesministerium für Wirtschaft und Energie ist ermächtigt, Kassenmittel zur Vorfinanzierung der Darlehen nach § 1 zu verwenden. Die Verwendung ist in einem Anhang zum ERP-Wirtschaftsplan und zur Jahresrechnung gesondert nachzuweisen.</w:t>
      </w:r>
    </w:p>
    <w:p>
      <w:r>
        <w:rPr>
          <w:color w:val="555555"/>
          <w:sz w:val="17"/>
        </w:rPr>
        <w:t xml:space="preserve">Zitiervorschlag: § 4 ERPEntwHiG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https://recht.nulegal.eu/gesetze/ERPEntwHiG/4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