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ERPEntwHiG</w:t>
      </w:r>
    </w:p>
    <w:p>
      <w:r>
        <w:rPr>
          <w:color w:val="555555"/>
          <w:sz w:val="18"/>
        </w:rPr>
        <w:t xml:space="preserve">ERP-Entwicklungshilfegesetz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Förderungszweck, insbesondere zur Erfüllung der nach § 1 Abs. 1 eingegangenen Verpflichtungen, werden bereitgestellt:</w:t>
      </w:r>
    </w:p>
    <w:p>
      <w:pPr>
        <w:ind w:left="420"/>
      </w:pPr>
      <w:r>
        <w:t xml:space="preserve">1. aus dem ERP-Sondervermögen jährlich Mittel nach näherer Bestimmung des ERP-Wirtschaftsplans;</w:t>
      </w:r>
    </w:p>
    <w:p>
      <w:pPr>
        <w:ind w:left="420"/>
      </w:pPr>
      <w:r>
        <w:t xml:space="preserve">2. aus der Beschaffung im Wege des Kredits Geldmittel bis zur Höhe von insgesamt fünfhundert Millionen Deutsche Mark.</w:t>
      </w:r>
    </w:p>
    <w:p>
      <w:r>
        <w:t xml:space="preserve">(2) Den Förderungsmitteln fließen sonstige Zuweisungen zu, wenn sie ausdrücklich für den Förderungszweck bestimmt sind.</w:t>
      </w:r>
    </w:p>
    <w:p>
      <w:r>
        <w:t xml:space="preserve">(3) Das Bundesministerium für Wirtschaft und Energie ist ermächtigt, die in Absatz 1 Nr. 2 bezeichneten Geldmittel zu Lasten des ERP-Sondervermögens zu beschaffen.</w:t>
      </w:r>
    </w:p>
    <w:p>
      <w:r>
        <w:rPr>
          <w:color w:val="555555"/>
          <w:sz w:val="17"/>
        </w:rPr>
        <w:t xml:space="preserve">Zitiervorschlag: § 3 ERPEntwHiG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https://recht.nulegal.eu/gesetze/ERPEntwHiG/3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