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ERP-WiPlanErV — Inkrafttreten, Außerkrafttreten</w:t>
      </w:r>
    </w:p>
    <w:p>
      <w:r>
        <w:rPr>
          <w:color w:val="555555"/>
          <w:sz w:val="18"/>
        </w:rPr>
        <w:t xml:space="preserve">ERP-Wirtschaftsplangesetz-2024-Erweiterungsverordnung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Diese Verordnung tritt am Tag nach der Verkündung in Kraft. Sie tritt am Tag der Verkündung des ERP-Wirtschaftsplangesetzes 2025, frühestens jedoch am 31. Dezember 2024, außer Kraft.</w:t>
      </w:r>
    </w:p>
    <w:p>
      <w:r>
        <w:rPr>
          <w:color w:val="555555"/>
          <w:sz w:val="17"/>
        </w:rPr>
        <w:t xml:space="preserve">Zitiervorschlag: § 2 ERP-WiPlanErV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https://recht.nulegal.eu/gesetze/ERP-WiPlanErV/2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