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ERFSV — Inkrafttreten</w:t>
      </w:r>
    </w:p>
    <w:p>
      <w:r>
        <w:rPr>
          <w:color w:val="555555"/>
          <w:sz w:val="18"/>
        </w:rPr>
        <w:t xml:space="preserve">E-Rezept-Fachdienst-Schnittstellen-Verordnung</w:t>
      </w:r>
    </w:p>
    <w:p>
      <w:r>
        <w:rPr>
          <w:color w:val="555555"/>
          <w:sz w:val="18"/>
        </w:rPr>
        <w:t xml:space="preserve">Stand: 28.12.2024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ERFSV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https://recht.nulegal.eu/gesetze/ERFSV/6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