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ERFSV — Anforderungen an die Dokumentation der Datenübermittlung</w:t>
      </w:r>
    </w:p>
    <w:p>
      <w:r>
        <w:rPr>
          <w:color w:val="555555"/>
          <w:sz w:val="18"/>
        </w:rPr>
        <w:t xml:space="preserve">E-Rezept-Fachdienst-Schnittstellen-Verordnung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Den Versicherten muss unmittelbar nach jeder Übermittlung ihrer Daten eine Dokumentation barrierefrei und leicht zugänglich in der Anwendung nach § 360 Absatz 10 Satz 1 des Fünften Buches Sozialgesetzbuch zur Verfügung stehen. Diese Dokumentation muss verständliche und vollständige Informationen enthalten über</w:t>
      </w:r>
    </w:p>
    <w:p>
      <w:pPr>
        <w:ind w:left="420"/>
      </w:pPr>
      <w:r>
        <w:t xml:space="preserve">1. die elektronische Verordnung, zu der die übermittelten Daten gehören,</w:t>
      </w:r>
    </w:p>
    <w:p>
      <w:pPr>
        <w:ind w:left="420"/>
      </w:pPr>
      <w:r>
        <w:t xml:space="preserve">2. die übermittelten technischen Profile und Datenfelder,</w:t>
      </w:r>
    </w:p>
    <w:p>
      <w:pPr>
        <w:ind w:left="420"/>
      </w:pPr>
      <w:r>
        <w:t xml:space="preserve">3. den Zeitpunkt der Übermittlung und</w:t>
      </w:r>
    </w:p>
    <w:p>
      <w:pPr>
        <w:ind w:left="420"/>
      </w:pPr>
      <w:r>
        <w:t xml:space="preserve">4. den Empfänger der Übermittlung.</w:t>
      </w:r>
    </w:p>
    <w:p>
      <w:r>
        <w:rPr>
          <w:color w:val="555555"/>
          <w:sz w:val="17"/>
        </w:rPr>
        <w:t xml:space="preserve">Zitiervorschlag: § 5 ERFSV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https://recht.nulegal.eu/gesetze/ERFSV/5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