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ERFSV — Technische Anforderungen an die Datenübermittlung und -verarbeitung</w:t>
      </w:r>
    </w:p>
    <w:p>
      <w:r>
        <w:rPr>
          <w:color w:val="555555"/>
          <w:sz w:val="18"/>
        </w:rPr>
        <w:t xml:space="preserve">E-Rezept-Fachdienst-Schnittstellen-Verordnung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Bei der Verarbeitung der Daten sind dem jeweiligen Stand der Technik entsprechende Maßnahmen zur Sicherstellung des Datenschutzes und der Datensicherheit zu treffen; die Vorgaben nach § 361a Absatz 3 Satz 3 des Fünften Buches Sozialgesetzbuch sind umzusetzen. § 139e Absatz 10 und 11 des Fünften Buches Sozialgesetzbuch bleibt unberührt.</w:t>
      </w:r>
    </w:p>
    <w:p>
      <w:r>
        <w:rPr>
          <w:color w:val="555555"/>
          <w:sz w:val="17"/>
        </w:rPr>
        <w:t xml:space="preserve">Zitiervorschlag: § 4 ERFSV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https://recht.nulegal.eu/gesetze/ERFSV/4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