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EPlZuVO (Sachsen)</w:t>
      </w:r>
    </w:p>
    <w:p>
      <w:r>
        <w:rPr>
          <w:color w:val="555555"/>
          <w:sz w:val="18"/>
        </w:rPr>
        <w:t xml:space="preserve">Eisenbahnplanfeststellungs-Zuständigkeitsverordnung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16 Abs. 1 Satz 2 Nr. 2 des Gesetzes über die Verwaltungsorganisation des Freistaates Sachsen (Sächsisches Verwaltungsorganisationsgesetz – SächsVwOrgG ) vom 25. November 2003 (SächsGVBl. S. 899), das zuletzt durch Artikel 1 des Gesetzes vom 29. Januar 2008 (SächsGVBl. S. 138, 140) geändert worden ist, wird mit Zustimmung der Staatsregierung verordnet:</w:t>
      </w:r>
    </w:p>
    <w:p>
      <w:r>
        <w:rPr>
          <w:color w:val="555555"/>
          <w:sz w:val="17"/>
        </w:rPr>
        <w:t xml:space="preserve">Zitiervorschlag: Eingangsformel EPlZuVO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https://recht.nulegal.eu/gesetze/EPlZuVO/eingangsformel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