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EPlZuVO (Sachsen) — Inkrafttreten und Außerkrafttreten</w:t>
      </w:r>
    </w:p>
    <w:p>
      <w:r>
        <w:rPr>
          <w:color w:val="555555"/>
          <w:sz w:val="18"/>
        </w:rPr>
        <w:t xml:space="preserve">Eisenbahnplanfeststellungs-Zuständigkeitsverordnung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August 2008 in Kraft. Gleichzeitig tritt die Verordnung des Sächsischen Staatsministeriums für Wirtschaft und Arbeit über Zuständigkeiten in eisenbahnrechtlichen Planfeststellungsverfahren (Eisenbahnplanfeststellungs-Zuständigkeitsverordnung – EPlZuVO ) vom 18. September 1998 (SächsGVBl. S. 547) außer Kraft.</w:t>
      </w:r>
    </w:p>
    <w:p>
      <w:r>
        <w:t xml:space="preserve">Dresden, den 29. Oktober 2008</w:t>
      </w:r>
    </w:p>
    <w:p>
      <w:r>
        <w:t xml:space="preserve">Der Staatsminister für Wirtschaft und Arbeit</w:t>
      </w:r>
    </w:p>
    <w:p>
      <w:r>
        <w:t xml:space="preserve">Thomas Jurk</w:t>
      </w:r>
    </w:p>
    <w:p>
      <w:r>
        <w:rPr>
          <w:color w:val="555555"/>
          <w:sz w:val="17"/>
        </w:rPr>
        <w:t xml:space="preserve">Zitiervorschlag: § 2 EPlZuVO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https://recht.nulegal.eu/gesetze/EPlZuVO/2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