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EPSV — Erlöschen, Rücknahme und Widerruf der Anerkennung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Anerkennung erlischt</w:t>
      </w:r>
    </w:p>
    <w:p>
      <w:pPr>
        <w:ind w:left="420"/>
      </w:pPr>
      <w:r>
        <w:t xml:space="preserve">1. durch schriftlichen oder elektronischen Verzicht des Prüfsachverständigen gegenüber der zuständigen Behörde,</w:t>
      </w:r>
    </w:p>
    <w:p>
      <w:pPr>
        <w:ind w:left="420"/>
      </w:pPr>
      <w:r>
        <w:t xml:space="preserve">2. mit der Vollendung des 70. Lebensjahres des Prüfsachverständigen oder</w:t>
      </w:r>
    </w:p>
    <w:p>
      <w:pPr>
        <w:ind w:left="420"/>
      </w:pPr>
      <w:r>
        <w:t xml:space="preserve">3. mit dem Ablauf der Geltungsdauer der Anerkennung.</w:t>
      </w:r>
    </w:p>
    <w:p>
      <w:r>
        <w:t xml:space="preserve">(2) Die zuständige Behörde kann die Anerkennung zurücknehmen, wenn bei der Erteilung der Anerkennung eine der Anerkennungsvoraussetzungen nicht vorgelegen hat.</w:t>
      </w:r>
    </w:p>
    <w:p>
      <w:r>
        <w:t xml:space="preserve">(3) Die zuständige Behörde kann die Anerkennung widerrufen, wenn der Prüfsachverständige</w:t>
      </w:r>
    </w:p>
    <w:p>
      <w:pPr>
        <w:ind w:left="420"/>
      </w:pPr>
      <w:r>
        <w:t xml:space="preserve">1. die Anerkennungsvoraussetzungen nicht mehr erfüllt,</w:t>
      </w:r>
    </w:p>
    <w:p>
      <w:pPr>
        <w:ind w:left="420"/>
      </w:pPr>
      <w:r>
        <w:t xml:space="preserve">2. nicht über einen Versicherungsschutz gemäß § 16 verfügt oder</w:t>
      </w:r>
    </w:p>
    <w:p>
      <w:pPr>
        <w:ind w:left="420"/>
      </w:pPr>
      <w:r>
        <w:t xml:space="preserve">3. gegen eine Pflicht nach den §§ 14 bis 23 wiederholt oder gröblich verstoßen hat oder gegen mehrere Pflichten nach den §§ 14 bis 23 verstoßen hat.</w:t>
      </w:r>
    </w:p>
    <w:p>
      <w:r>
        <w:t xml:space="preserve">Ein Widerruf wegen eines wiederholten Verstoßes setzt voraus, dass wegen eines vorangegangenen Verstoßes eine Ermahnung ausgesprochen und auf die Möglichkeit eines Widerrufes hingewiesen worden ist.</w:t>
      </w:r>
    </w:p>
    <w:p>
      <w:r>
        <w:t xml:space="preserve">(4) Die Regelungen der §§ 48 bis 51 des Verwaltungsverfahrensgesetzes bleiben unberührt.</w:t>
      </w:r>
    </w:p>
    <w:p>
      <w:r>
        <w:t xml:space="preserve">(5) Der Anerkennungsbescheid ist unverzüglich an die zuständige Behörde zurückzugeben, wenn die Anerkennung erloschen ist, zurückgenommen oder widerrufen wird.</w:t>
      </w:r>
    </w:p>
    <w:p>
      <w:r>
        <w:rPr>
          <w:color w:val="555555"/>
          <w:sz w:val="17"/>
        </w:rPr>
        <w:t xml:space="preserve">Zitiervorschlag: § 7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